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E45" w:rsidRDefault="00276E45" w:rsidP="006D1BF0">
      <w:pPr>
        <w:spacing w:after="60"/>
        <w:jc w:val="left"/>
        <w:rPr>
          <w:rFonts w:ascii="Arial Black" w:hAnsi="Arial Black"/>
          <w:b/>
          <w:sz w:val="24"/>
        </w:rPr>
      </w:pPr>
      <w:bookmarkStart w:id="0" w:name="_GoBack"/>
      <w:bookmarkEnd w:id="0"/>
    </w:p>
    <w:p w:rsidR="006D1BF0" w:rsidRPr="00E85C04" w:rsidRDefault="006D1BF0" w:rsidP="006D1BF0">
      <w:pPr>
        <w:spacing w:after="60"/>
        <w:jc w:val="left"/>
        <w:rPr>
          <w:rFonts w:ascii="Arial Black" w:hAnsi="Arial Black"/>
          <w:b/>
          <w:sz w:val="28"/>
        </w:rPr>
      </w:pPr>
      <w:r>
        <w:rPr>
          <w:b/>
          <w:bCs/>
          <w:noProof/>
        </w:rPr>
        <w:drawing>
          <wp:anchor distT="0" distB="0" distL="144145" distR="144145" simplePos="0" relativeHeight="251659264" behindDoc="0" locked="0" layoutInCell="1" allowOverlap="0" wp14:anchorId="6FF9DFA0" wp14:editId="6004DEC1">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6D1BF0" w:rsidRPr="004563F0" w:rsidRDefault="006D1BF0" w:rsidP="006D1BF0">
      <w:pPr>
        <w:rPr>
          <w:sz w:val="20"/>
        </w:rPr>
      </w:pPr>
      <w:r w:rsidRPr="004563F0">
        <w:rPr>
          <w:sz w:val="20"/>
        </w:rPr>
        <w:t>Lycée MARIE CURIE</w:t>
      </w:r>
    </w:p>
    <w:p w:rsidR="006D1BF0" w:rsidRPr="004563F0" w:rsidRDefault="006D1BF0" w:rsidP="006D1BF0">
      <w:pPr>
        <w:rPr>
          <w:sz w:val="20"/>
        </w:rPr>
      </w:pPr>
      <w:r w:rsidRPr="004563F0">
        <w:rPr>
          <w:sz w:val="20"/>
        </w:rPr>
        <w:t xml:space="preserve">Avenue du 8 mai 1945 - BP 348 </w:t>
      </w:r>
    </w:p>
    <w:p w:rsidR="006D1BF0" w:rsidRPr="004563F0" w:rsidRDefault="006D1BF0" w:rsidP="006D1BF0">
      <w:pPr>
        <w:rPr>
          <w:sz w:val="16"/>
        </w:rPr>
      </w:pPr>
      <w:r w:rsidRPr="004563F0">
        <w:rPr>
          <w:sz w:val="20"/>
        </w:rPr>
        <w:t>38435 ECHIROLLES cedex</w:t>
      </w:r>
    </w:p>
    <w:p w:rsidR="006D1BF0" w:rsidRPr="00E85C04" w:rsidRDefault="00E57725" w:rsidP="006D1BF0">
      <w:pPr>
        <w:pStyle w:val="Liste"/>
        <w:numPr>
          <w:ilvl w:val="0"/>
          <w:numId w:val="0"/>
        </w:numPr>
        <w:ind w:left="284"/>
        <w:rPr>
          <w:lang w:val="nl-NL"/>
        </w:rPr>
      </w:pPr>
      <w:hyperlink r:id="rId9" w:history="1">
        <w:r w:rsidR="006D1BF0" w:rsidRPr="00ED0EFA">
          <w:rPr>
            <w:rStyle w:val="Lienhypertexte"/>
            <w:sz w:val="18"/>
            <w:lang w:val="nl-NL"/>
          </w:rPr>
          <w:t>http://crcf.ac-grenoble.fr/</w:t>
        </w:r>
      </w:hyperlink>
      <w:r w:rsidR="006D1BF0">
        <w:rPr>
          <w:lang w:val="nl-NL"/>
        </w:rPr>
        <w:t xml:space="preserve"> </w:t>
      </w:r>
    </w:p>
    <w:p w:rsidR="006D1BF0" w:rsidRPr="004563F0" w:rsidRDefault="006D1BF0" w:rsidP="006D1BF0"/>
    <w:p w:rsidR="006D1BF0" w:rsidRPr="00AC0FFC"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10"/>
          <w:szCs w:val="10"/>
        </w:rPr>
      </w:pPr>
    </w:p>
    <w:p w:rsidR="006D1BF0"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b/>
          <w:sz w:val="36"/>
          <w:szCs w:val="36"/>
        </w:rPr>
      </w:pPr>
      <w:r>
        <w:rPr>
          <w:rFonts w:ascii="Times New Roman" w:hAnsi="Times New Roman"/>
          <w:b/>
          <w:sz w:val="36"/>
          <w:szCs w:val="36"/>
        </w:rPr>
        <w:t>Ordonnance n°2017-138</w:t>
      </w:r>
      <w:r w:rsidR="00C36570">
        <w:rPr>
          <w:rFonts w:ascii="Times New Roman" w:hAnsi="Times New Roman"/>
          <w:b/>
          <w:sz w:val="36"/>
          <w:szCs w:val="36"/>
        </w:rPr>
        <w:t>8</w:t>
      </w:r>
      <w:r>
        <w:rPr>
          <w:rFonts w:ascii="Times New Roman" w:hAnsi="Times New Roman"/>
          <w:b/>
          <w:sz w:val="36"/>
          <w:szCs w:val="36"/>
        </w:rPr>
        <w:t xml:space="preserve"> du 22/09/2017</w:t>
      </w:r>
    </w:p>
    <w:p w:rsidR="006D1BF0" w:rsidRPr="0052347B" w:rsidRDefault="00C36570" w:rsidP="00C36570">
      <w:pPr>
        <w:pBdr>
          <w:top w:val="single" w:sz="4" w:space="1" w:color="auto"/>
          <w:left w:val="single" w:sz="4" w:space="4" w:color="auto"/>
          <w:bottom w:val="single" w:sz="4" w:space="1" w:color="auto"/>
          <w:right w:val="single" w:sz="4" w:space="31" w:color="auto"/>
        </w:pBdr>
        <w:shd w:val="clear" w:color="auto" w:fill="D9D9D9"/>
        <w:rPr>
          <w:rFonts w:ascii="Times New Roman" w:hAnsi="Times New Roman"/>
          <w:bCs/>
          <w:i/>
          <w:sz w:val="28"/>
          <w:szCs w:val="28"/>
        </w:rPr>
      </w:pPr>
      <w:r>
        <w:rPr>
          <w:rFonts w:ascii="Times New Roman" w:hAnsi="Times New Roman"/>
          <w:b/>
          <w:sz w:val="28"/>
          <w:szCs w:val="28"/>
        </w:rPr>
        <w:t>Portant diverses mesures relatives au cadre de la négociation collective</w:t>
      </w:r>
    </w:p>
    <w:p w:rsidR="006D1BF0" w:rsidRPr="00CB1124" w:rsidRDefault="006D1BF0" w:rsidP="006D1BF0">
      <w:pPr>
        <w:pBdr>
          <w:top w:val="single" w:sz="4" w:space="1" w:color="auto"/>
          <w:left w:val="single" w:sz="4" w:space="4" w:color="auto"/>
          <w:bottom w:val="single" w:sz="4" w:space="1" w:color="auto"/>
          <w:right w:val="single" w:sz="4" w:space="31" w:color="auto"/>
        </w:pBdr>
        <w:shd w:val="clear" w:color="auto" w:fill="D9D9D9"/>
        <w:jc w:val="center"/>
        <w:rPr>
          <w:rFonts w:ascii="Times New Roman" w:hAnsi="Times New Roman"/>
          <w:i/>
          <w:sz w:val="10"/>
          <w:szCs w:val="10"/>
        </w:rPr>
      </w:pPr>
    </w:p>
    <w:p w:rsidR="006D1BF0" w:rsidRDefault="006D1BF0" w:rsidP="006D1BF0">
      <w:pPr>
        <w:rPr>
          <w:rFonts w:ascii="Times New Roman" w:hAnsi="Times New Roman"/>
          <w:b/>
          <w:u w:val="single"/>
        </w:rPr>
      </w:pPr>
    </w:p>
    <w:p w:rsidR="006D1BF0" w:rsidRPr="00BE483C" w:rsidRDefault="007A33F4" w:rsidP="007A33F4">
      <w:pPr>
        <w:rPr>
          <w:rFonts w:ascii="Times New Roman" w:hAnsi="Times New Roman"/>
          <w:sz w:val="24"/>
          <w:szCs w:val="24"/>
        </w:rPr>
      </w:pPr>
      <w:r>
        <w:rPr>
          <w:rFonts w:ascii="Times New Roman" w:hAnsi="Times New Roman"/>
          <w:sz w:val="24"/>
          <w:szCs w:val="24"/>
        </w:rPr>
        <w:t xml:space="preserve">Dans cette Ordonnance, bien moins dense que les autres, </w:t>
      </w:r>
      <w:r w:rsidR="006D1BF0" w:rsidRPr="00921085">
        <w:rPr>
          <w:rFonts w:ascii="Times New Roman" w:hAnsi="Times New Roman"/>
          <w:sz w:val="24"/>
          <w:szCs w:val="24"/>
        </w:rPr>
        <w:t xml:space="preserve"> </w:t>
      </w:r>
      <w:r>
        <w:rPr>
          <w:rFonts w:ascii="Times New Roman" w:hAnsi="Times New Roman"/>
          <w:sz w:val="24"/>
          <w:szCs w:val="24"/>
        </w:rPr>
        <w:t xml:space="preserve">ne </w:t>
      </w:r>
      <w:r w:rsidR="006D1BF0" w:rsidRPr="00921085">
        <w:rPr>
          <w:rFonts w:ascii="Times New Roman" w:hAnsi="Times New Roman"/>
          <w:sz w:val="24"/>
          <w:szCs w:val="24"/>
        </w:rPr>
        <w:t xml:space="preserve">seront abordées que les mesures </w:t>
      </w:r>
      <w:r>
        <w:rPr>
          <w:rFonts w:ascii="Times New Roman" w:hAnsi="Times New Roman"/>
          <w:sz w:val="24"/>
          <w:szCs w:val="24"/>
        </w:rPr>
        <w:t>relatives à l’</w:t>
      </w:r>
      <w:r w:rsidR="00BE483C" w:rsidRPr="00BE483C">
        <w:rPr>
          <w:rFonts w:ascii="Times New Roman" w:hAnsi="Times New Roman"/>
          <w:sz w:val="24"/>
          <w:szCs w:val="24"/>
        </w:rPr>
        <w:t xml:space="preserve">'extension </w:t>
      </w:r>
      <w:r w:rsidR="00BE483C">
        <w:rPr>
          <w:rFonts w:ascii="Times New Roman" w:hAnsi="Times New Roman"/>
          <w:sz w:val="24"/>
          <w:szCs w:val="24"/>
        </w:rPr>
        <w:t xml:space="preserve">et </w:t>
      </w:r>
      <w:r>
        <w:rPr>
          <w:rFonts w:ascii="Times New Roman" w:hAnsi="Times New Roman"/>
          <w:sz w:val="24"/>
          <w:szCs w:val="24"/>
        </w:rPr>
        <w:t>à l’</w:t>
      </w:r>
      <w:r w:rsidR="00BE483C">
        <w:rPr>
          <w:rFonts w:ascii="Times New Roman" w:hAnsi="Times New Roman"/>
          <w:sz w:val="24"/>
          <w:szCs w:val="24"/>
        </w:rPr>
        <w:t xml:space="preserve">élargissement </w:t>
      </w:r>
      <w:r w:rsidR="00BE483C" w:rsidRPr="00BE483C">
        <w:rPr>
          <w:rFonts w:ascii="Times New Roman" w:hAnsi="Times New Roman"/>
          <w:sz w:val="24"/>
          <w:szCs w:val="24"/>
        </w:rPr>
        <w:t>des accords collectifs</w:t>
      </w:r>
      <w:r>
        <w:rPr>
          <w:rFonts w:ascii="Times New Roman" w:hAnsi="Times New Roman"/>
          <w:sz w:val="24"/>
          <w:szCs w:val="24"/>
        </w:rPr>
        <w:t xml:space="preserve">. </w:t>
      </w:r>
    </w:p>
    <w:p w:rsidR="006D1BF0" w:rsidRDefault="006D1BF0" w:rsidP="006D1BF0">
      <w:pPr>
        <w:rPr>
          <w:rFonts w:ascii="Times New Roman" w:hAnsi="Times New Roman"/>
        </w:rPr>
      </w:pPr>
    </w:p>
    <w:p w:rsidR="006D1BF0" w:rsidRPr="009D3544" w:rsidRDefault="006D1BF0" w:rsidP="006D1BF0">
      <w:pPr>
        <w:rPr>
          <w:rFonts w:ascii="Times New Roman" w:hAnsi="Times New Roman"/>
          <w:b/>
          <w:bCs/>
          <w:i/>
          <w:sz w:val="24"/>
          <w:szCs w:val="24"/>
          <w:u w:val="single"/>
        </w:rPr>
      </w:pPr>
      <w:r w:rsidRPr="009D3544">
        <w:rPr>
          <w:rFonts w:ascii="Times New Roman" w:hAnsi="Times New Roman"/>
          <w:b/>
          <w:bCs/>
          <w:i/>
          <w:sz w:val="24"/>
          <w:szCs w:val="24"/>
          <w:u w:val="single"/>
        </w:rPr>
        <w:t>Sommaire :</w:t>
      </w:r>
    </w:p>
    <w:p w:rsidR="006D1BF0" w:rsidRDefault="006D1BF0" w:rsidP="006D1BF0">
      <w:pPr>
        <w:rPr>
          <w:rFonts w:ascii="Times New Roman" w:hAnsi="Times New Roman"/>
          <w:sz w:val="24"/>
          <w:szCs w:val="24"/>
        </w:rPr>
      </w:pPr>
    </w:p>
    <w:p w:rsidR="00C36570" w:rsidRPr="00C36570" w:rsidRDefault="00C36570" w:rsidP="006D1BF0">
      <w:pPr>
        <w:rPr>
          <w:rFonts w:ascii="Times New Roman" w:hAnsi="Times New Roman"/>
          <w:color w:val="0070C0"/>
          <w:sz w:val="28"/>
          <w:szCs w:val="28"/>
        </w:rPr>
      </w:pPr>
      <w:r w:rsidRPr="00C36570">
        <w:rPr>
          <w:rFonts w:ascii="Times New Roman" w:hAnsi="Times New Roman"/>
          <w:color w:val="0070C0"/>
          <w:sz w:val="28"/>
          <w:szCs w:val="28"/>
        </w:rPr>
        <w:t>Extension et élargissement des accords collectifs</w:t>
      </w:r>
    </w:p>
    <w:p w:rsidR="00C36570" w:rsidRPr="00C36570" w:rsidRDefault="00C36570" w:rsidP="006D1BF0">
      <w:pPr>
        <w:rPr>
          <w:rFonts w:ascii="Times New Roman" w:hAnsi="Times New Roman"/>
          <w:color w:val="0070C0"/>
          <w:sz w:val="28"/>
          <w:szCs w:val="28"/>
        </w:rPr>
      </w:pPr>
    </w:p>
    <w:tbl>
      <w:tblPr>
        <w:tblStyle w:val="Grilledutableau"/>
        <w:tblW w:w="9923" w:type="dxa"/>
        <w:tblInd w:w="-34" w:type="dxa"/>
        <w:tblLook w:val="04A0" w:firstRow="1" w:lastRow="0" w:firstColumn="1" w:lastColumn="0" w:noHBand="0" w:noVBand="1"/>
      </w:tblPr>
      <w:tblGrid>
        <w:gridCol w:w="9923"/>
      </w:tblGrid>
      <w:tr w:rsidR="006D1BF0" w:rsidTr="00791284">
        <w:tc>
          <w:tcPr>
            <w:tcW w:w="9923" w:type="dxa"/>
            <w:shd w:val="clear" w:color="auto" w:fill="BFBFBF" w:themeFill="background1" w:themeFillShade="BF"/>
          </w:tcPr>
          <w:p w:rsidR="00C36570" w:rsidRPr="0030753A" w:rsidRDefault="006D1BF0" w:rsidP="00C36570">
            <w:pPr>
              <w:jc w:val="center"/>
              <w:rPr>
                <w:rFonts w:ascii="Times New Roman" w:hAnsi="Times New Roman"/>
                <w:b/>
                <w:color w:val="0070C0"/>
                <w:sz w:val="28"/>
                <w:szCs w:val="28"/>
              </w:rPr>
            </w:pPr>
            <w:r w:rsidRPr="00D17EB7">
              <w:rPr>
                <w:rFonts w:ascii="Times New Roman" w:hAnsi="Times New Roman"/>
                <w:sz w:val="24"/>
                <w:szCs w:val="24"/>
              </w:rPr>
              <w:br w:type="page"/>
            </w:r>
            <w:r w:rsidR="00C36570" w:rsidRPr="0030753A">
              <w:rPr>
                <w:rFonts w:ascii="Times New Roman" w:hAnsi="Times New Roman"/>
                <w:b/>
                <w:color w:val="0070C0"/>
                <w:sz w:val="28"/>
                <w:szCs w:val="28"/>
              </w:rPr>
              <w:t>Extension des accords collectifs</w:t>
            </w:r>
          </w:p>
          <w:p w:rsidR="00E81335" w:rsidRDefault="00E81335" w:rsidP="00C36570">
            <w:pPr>
              <w:ind w:left="425" w:firstLine="0"/>
              <w:jc w:val="center"/>
              <w:rPr>
                <w:rFonts w:ascii="Times New Roman" w:hAnsi="Times New Roman"/>
                <w:sz w:val="24"/>
                <w:szCs w:val="24"/>
              </w:rPr>
            </w:pPr>
          </w:p>
        </w:tc>
      </w:tr>
      <w:tr w:rsidR="006D1BF0" w:rsidRPr="00BE483C" w:rsidTr="00791284">
        <w:tc>
          <w:tcPr>
            <w:tcW w:w="9923" w:type="dxa"/>
          </w:tcPr>
          <w:p w:rsidR="00755F98" w:rsidRPr="00BE483C" w:rsidRDefault="00755F98" w:rsidP="00E81335">
            <w:pPr>
              <w:ind w:left="0" w:firstLine="0"/>
              <w:rPr>
                <w:rFonts w:ascii="Times New Roman" w:hAnsi="Times New Roman"/>
                <w:sz w:val="24"/>
                <w:szCs w:val="24"/>
              </w:rPr>
            </w:pPr>
          </w:p>
          <w:p w:rsidR="0030753A" w:rsidRDefault="0030753A" w:rsidP="00E81335">
            <w:pPr>
              <w:ind w:left="0" w:firstLine="0"/>
              <w:rPr>
                <w:rFonts w:ascii="Times New Roman" w:hAnsi="Times New Roman"/>
                <w:sz w:val="24"/>
                <w:szCs w:val="24"/>
              </w:rPr>
            </w:pPr>
            <w:r w:rsidRPr="0030753A">
              <w:rPr>
                <w:rFonts w:ascii="Times New Roman" w:hAnsi="Times New Roman"/>
                <w:sz w:val="24"/>
                <w:szCs w:val="24"/>
              </w:rPr>
              <w:t xml:space="preserve">L’extension </w:t>
            </w:r>
            <w:r>
              <w:rPr>
                <w:rFonts w:ascii="Times New Roman" w:hAnsi="Times New Roman"/>
                <w:sz w:val="24"/>
                <w:szCs w:val="24"/>
              </w:rPr>
              <w:t xml:space="preserve">est une procédure qui vise à rendre applicable </w:t>
            </w:r>
            <w:r w:rsidR="007A33F4">
              <w:rPr>
                <w:rFonts w:ascii="Times New Roman" w:hAnsi="Times New Roman"/>
                <w:sz w:val="24"/>
                <w:szCs w:val="24"/>
              </w:rPr>
              <w:t xml:space="preserve">un accord ou </w:t>
            </w:r>
            <w:r>
              <w:rPr>
                <w:rFonts w:ascii="Times New Roman" w:hAnsi="Times New Roman"/>
                <w:sz w:val="24"/>
                <w:szCs w:val="24"/>
              </w:rPr>
              <w:t>une convention de branche à l’ensemble des entreprises comprises dans son champ d’application géographique et professionnel et non seulement aux entreprises adhérentes aux organisations représentatives d’employeurs signataires.</w:t>
            </w:r>
          </w:p>
          <w:p w:rsidR="007A33F4" w:rsidRDefault="007A33F4" w:rsidP="00E81335">
            <w:pPr>
              <w:ind w:left="0" w:firstLine="0"/>
              <w:rPr>
                <w:rFonts w:ascii="Times New Roman" w:hAnsi="Times New Roman"/>
                <w:sz w:val="24"/>
                <w:szCs w:val="24"/>
              </w:rPr>
            </w:pPr>
          </w:p>
          <w:p w:rsidR="00BE483C" w:rsidRDefault="00BE483C" w:rsidP="00BE483C">
            <w:pPr>
              <w:ind w:left="0" w:firstLine="0"/>
              <w:rPr>
                <w:rFonts w:ascii="Times New Roman" w:hAnsi="Times New Roman"/>
                <w:sz w:val="24"/>
                <w:szCs w:val="24"/>
              </w:rPr>
            </w:pPr>
            <w:r w:rsidRPr="007A33F4">
              <w:rPr>
                <w:rFonts w:ascii="Times New Roman" w:hAnsi="Times New Roman"/>
                <w:sz w:val="24"/>
                <w:szCs w:val="24"/>
                <w:u w:val="single"/>
              </w:rPr>
              <w:t>L’Ordonnance</w:t>
            </w:r>
            <w:r>
              <w:rPr>
                <w:rFonts w:ascii="Times New Roman" w:hAnsi="Times New Roman"/>
                <w:sz w:val="24"/>
                <w:szCs w:val="24"/>
              </w:rPr>
              <w:t xml:space="preserve"> prévoit</w:t>
            </w:r>
            <w:r w:rsidRPr="00BE483C">
              <w:rPr>
                <w:rFonts w:ascii="Times New Roman" w:hAnsi="Times New Roman"/>
                <w:sz w:val="24"/>
                <w:szCs w:val="24"/>
              </w:rPr>
              <w:t xml:space="preserve"> </w:t>
            </w:r>
            <w:r w:rsidRPr="00BE483C">
              <w:rPr>
                <w:rFonts w:ascii="Times New Roman" w:hAnsi="Times New Roman"/>
                <w:b/>
                <w:sz w:val="24"/>
                <w:szCs w:val="24"/>
              </w:rPr>
              <w:t>l'accroissement des pouvoirs du ministère du Travail en matière d'extension des accords collectifs.</w:t>
            </w:r>
            <w:r w:rsidRPr="00BE483C">
              <w:rPr>
                <w:rFonts w:ascii="Times New Roman" w:hAnsi="Times New Roman"/>
                <w:sz w:val="24"/>
                <w:szCs w:val="24"/>
              </w:rPr>
              <w:t xml:space="preserve"> Il pourra en effet </w:t>
            </w:r>
            <w:r>
              <w:rPr>
                <w:rFonts w:ascii="Times New Roman" w:hAnsi="Times New Roman"/>
                <w:sz w:val="24"/>
                <w:szCs w:val="24"/>
              </w:rPr>
              <w:t xml:space="preserve">exclure de l’extension des clauses </w:t>
            </w:r>
            <w:r w:rsidRPr="00BE483C">
              <w:rPr>
                <w:rFonts w:ascii="Times New Roman" w:hAnsi="Times New Roman"/>
                <w:sz w:val="24"/>
                <w:szCs w:val="24"/>
              </w:rPr>
              <w:t xml:space="preserve">pour des </w:t>
            </w:r>
            <w:r>
              <w:rPr>
                <w:rFonts w:ascii="Times New Roman" w:hAnsi="Times New Roman"/>
                <w:sz w:val="24"/>
                <w:szCs w:val="24"/>
              </w:rPr>
              <w:t>« </w:t>
            </w:r>
            <w:r w:rsidRPr="00BE483C">
              <w:rPr>
                <w:rFonts w:ascii="Times New Roman" w:hAnsi="Times New Roman"/>
                <w:sz w:val="24"/>
                <w:szCs w:val="24"/>
              </w:rPr>
              <w:t>motifs d'intérêt général</w:t>
            </w:r>
            <w:r>
              <w:rPr>
                <w:rFonts w:ascii="Times New Roman" w:hAnsi="Times New Roman"/>
                <w:sz w:val="24"/>
                <w:szCs w:val="24"/>
              </w:rPr>
              <w:t> »</w:t>
            </w:r>
            <w:r w:rsidRPr="00BE483C">
              <w:rPr>
                <w:rFonts w:ascii="Times New Roman" w:hAnsi="Times New Roman"/>
                <w:sz w:val="24"/>
                <w:szCs w:val="24"/>
              </w:rPr>
              <w:t xml:space="preserve">, </w:t>
            </w:r>
            <w:r>
              <w:rPr>
                <w:rFonts w:ascii="Times New Roman" w:hAnsi="Times New Roman"/>
                <w:sz w:val="24"/>
                <w:szCs w:val="24"/>
              </w:rPr>
              <w:t>par exemple quand elles sont de nature à porter une atteinte excessive à la concurrence.</w:t>
            </w:r>
          </w:p>
          <w:p w:rsidR="00BE483C" w:rsidRPr="00BE483C" w:rsidRDefault="00BE483C" w:rsidP="00BE483C">
            <w:pPr>
              <w:ind w:left="0" w:firstLine="0"/>
              <w:rPr>
                <w:rFonts w:ascii="Times New Roman" w:hAnsi="Times New Roman"/>
                <w:sz w:val="24"/>
                <w:szCs w:val="24"/>
              </w:rPr>
            </w:pPr>
            <w:r w:rsidRPr="007A33F4">
              <w:rPr>
                <w:rFonts w:ascii="Times New Roman" w:hAnsi="Times New Roman"/>
                <w:sz w:val="24"/>
                <w:szCs w:val="24"/>
                <w:u w:val="single"/>
              </w:rPr>
              <w:t>Jusqu’alors</w:t>
            </w:r>
            <w:r>
              <w:rPr>
                <w:rFonts w:ascii="Times New Roman" w:hAnsi="Times New Roman"/>
                <w:sz w:val="24"/>
                <w:szCs w:val="24"/>
              </w:rPr>
              <w:t>, seules les clauses illégales pouvaient être exclues de l’extension.</w:t>
            </w:r>
          </w:p>
          <w:p w:rsidR="007A33F4" w:rsidRDefault="007A33F4" w:rsidP="00BE483C">
            <w:pPr>
              <w:ind w:left="0" w:firstLine="0"/>
              <w:rPr>
                <w:rFonts w:ascii="Times New Roman" w:hAnsi="Times New Roman"/>
                <w:sz w:val="24"/>
                <w:szCs w:val="24"/>
              </w:rPr>
            </w:pPr>
          </w:p>
          <w:p w:rsidR="00BE483C" w:rsidRPr="00BE483C" w:rsidRDefault="00BE483C" w:rsidP="00BE483C">
            <w:pPr>
              <w:ind w:left="0" w:firstLine="0"/>
              <w:rPr>
                <w:rFonts w:ascii="Times New Roman" w:hAnsi="Times New Roman"/>
                <w:color w:val="984806" w:themeColor="accent6" w:themeShade="80"/>
                <w:sz w:val="24"/>
                <w:szCs w:val="24"/>
              </w:rPr>
            </w:pPr>
            <w:r w:rsidRPr="00BE483C">
              <w:rPr>
                <w:rFonts w:ascii="Times New Roman" w:hAnsi="Times New Roman"/>
                <w:color w:val="984806" w:themeColor="accent6" w:themeShade="80"/>
                <w:sz w:val="24"/>
                <w:szCs w:val="24"/>
              </w:rPr>
              <w:t xml:space="preserve">Seuls les conventions et accords conclus </w:t>
            </w:r>
            <w:r w:rsidRPr="007A33F4">
              <w:rPr>
                <w:rFonts w:ascii="Times New Roman" w:hAnsi="Times New Roman"/>
                <w:color w:val="984806" w:themeColor="accent6" w:themeShade="80"/>
                <w:sz w:val="24"/>
                <w:szCs w:val="24"/>
              </w:rPr>
              <w:t>à compter du 1er janvier 2018</w:t>
            </w:r>
            <w:r w:rsidRPr="00BE483C">
              <w:rPr>
                <w:rFonts w:ascii="Times New Roman" w:hAnsi="Times New Roman"/>
                <w:color w:val="984806" w:themeColor="accent6" w:themeShade="80"/>
                <w:sz w:val="24"/>
                <w:szCs w:val="24"/>
              </w:rPr>
              <w:t xml:space="preserve"> seront soum</w:t>
            </w:r>
            <w:r w:rsidR="007A33F4">
              <w:rPr>
                <w:rFonts w:ascii="Times New Roman" w:hAnsi="Times New Roman"/>
                <w:color w:val="984806" w:themeColor="accent6" w:themeShade="80"/>
                <w:sz w:val="24"/>
                <w:szCs w:val="24"/>
              </w:rPr>
              <w:t>is à ce nouveau cadre juridique</w:t>
            </w:r>
            <w:r w:rsidRPr="00BE483C">
              <w:rPr>
                <w:rFonts w:ascii="Times New Roman" w:hAnsi="Times New Roman"/>
                <w:color w:val="984806" w:themeColor="accent6" w:themeShade="80"/>
                <w:sz w:val="24"/>
                <w:szCs w:val="24"/>
              </w:rPr>
              <w:t>.</w:t>
            </w:r>
          </w:p>
          <w:p w:rsidR="00BE483C" w:rsidRPr="0030753A" w:rsidRDefault="00BE483C" w:rsidP="00BE483C">
            <w:pPr>
              <w:ind w:left="0" w:firstLine="0"/>
              <w:rPr>
                <w:rFonts w:ascii="Times New Roman" w:hAnsi="Times New Roman"/>
                <w:sz w:val="24"/>
                <w:szCs w:val="24"/>
              </w:rPr>
            </w:pPr>
          </w:p>
        </w:tc>
      </w:tr>
      <w:tr w:rsidR="007A33F4" w:rsidRPr="00BE483C" w:rsidTr="00B75129">
        <w:tc>
          <w:tcPr>
            <w:tcW w:w="9923" w:type="dxa"/>
            <w:shd w:val="clear" w:color="auto" w:fill="BFBFBF" w:themeFill="background1" w:themeFillShade="BF"/>
          </w:tcPr>
          <w:p w:rsidR="007A33F4" w:rsidRDefault="007A33F4" w:rsidP="007A33F4">
            <w:pPr>
              <w:jc w:val="center"/>
              <w:rPr>
                <w:rFonts w:ascii="Times New Roman" w:hAnsi="Times New Roman"/>
                <w:sz w:val="24"/>
                <w:szCs w:val="24"/>
              </w:rPr>
            </w:pPr>
            <w:r w:rsidRPr="00B75129">
              <w:rPr>
                <w:rFonts w:ascii="Times New Roman" w:hAnsi="Times New Roman"/>
                <w:b/>
                <w:color w:val="0070C0"/>
                <w:sz w:val="28"/>
                <w:szCs w:val="28"/>
              </w:rPr>
              <w:t>Elargissement des accords collectifs</w:t>
            </w:r>
            <w:r>
              <w:rPr>
                <w:rFonts w:ascii="Times New Roman" w:hAnsi="Times New Roman"/>
                <w:sz w:val="24"/>
                <w:szCs w:val="24"/>
              </w:rPr>
              <w:t xml:space="preserve"> </w:t>
            </w:r>
          </w:p>
          <w:p w:rsidR="00B75129" w:rsidRPr="00BE483C" w:rsidRDefault="00B75129" w:rsidP="007A33F4">
            <w:pPr>
              <w:jc w:val="center"/>
              <w:rPr>
                <w:rFonts w:ascii="Times New Roman" w:hAnsi="Times New Roman"/>
                <w:sz w:val="24"/>
                <w:szCs w:val="24"/>
              </w:rPr>
            </w:pPr>
          </w:p>
        </w:tc>
      </w:tr>
      <w:tr w:rsidR="007A33F4" w:rsidRPr="00BE483C" w:rsidTr="00791284">
        <w:tc>
          <w:tcPr>
            <w:tcW w:w="9923" w:type="dxa"/>
          </w:tcPr>
          <w:p w:rsidR="007A33F4" w:rsidRDefault="007A33F4" w:rsidP="007A33F4">
            <w:pPr>
              <w:ind w:left="0" w:firstLine="0"/>
              <w:rPr>
                <w:rFonts w:ascii="Times New Roman" w:hAnsi="Times New Roman"/>
                <w:sz w:val="24"/>
                <w:szCs w:val="24"/>
              </w:rPr>
            </w:pPr>
          </w:p>
          <w:p w:rsidR="007A33F4" w:rsidRDefault="007A33F4" w:rsidP="007A33F4">
            <w:pPr>
              <w:ind w:left="0" w:firstLine="0"/>
              <w:rPr>
                <w:rFonts w:ascii="Times New Roman" w:hAnsi="Times New Roman"/>
                <w:sz w:val="24"/>
                <w:szCs w:val="24"/>
              </w:rPr>
            </w:pPr>
            <w:r>
              <w:rPr>
                <w:rFonts w:ascii="Times New Roman" w:hAnsi="Times New Roman"/>
                <w:sz w:val="24"/>
                <w:szCs w:val="24"/>
              </w:rPr>
              <w:t>L’élargissement vise à rendre applicable un accord ou une convention de branche étendu aux entreprises relevant d’un secteur d’activité professionnel ou d’un territoire non compris dans le champ d’application de cet accord ou de cette convention.</w:t>
            </w:r>
          </w:p>
          <w:p w:rsidR="007A33F4" w:rsidRDefault="007A33F4" w:rsidP="007A33F4">
            <w:pPr>
              <w:ind w:left="0" w:firstLine="0"/>
              <w:rPr>
                <w:rFonts w:ascii="Times New Roman" w:hAnsi="Times New Roman"/>
                <w:sz w:val="24"/>
                <w:szCs w:val="24"/>
              </w:rPr>
            </w:pPr>
          </w:p>
          <w:p w:rsidR="007A33F4" w:rsidRDefault="007A33F4" w:rsidP="007A33F4">
            <w:pPr>
              <w:ind w:left="0" w:firstLine="0"/>
              <w:rPr>
                <w:rFonts w:ascii="Times New Roman" w:hAnsi="Times New Roman"/>
                <w:sz w:val="24"/>
                <w:szCs w:val="24"/>
              </w:rPr>
            </w:pPr>
            <w:r w:rsidRPr="007A33F4">
              <w:rPr>
                <w:rFonts w:ascii="Times New Roman" w:hAnsi="Times New Roman"/>
                <w:sz w:val="24"/>
                <w:szCs w:val="24"/>
                <w:u w:val="single"/>
              </w:rPr>
              <w:t>L’Ordonnance</w:t>
            </w:r>
            <w:r>
              <w:rPr>
                <w:rFonts w:ascii="Times New Roman" w:hAnsi="Times New Roman"/>
                <w:sz w:val="24"/>
                <w:szCs w:val="24"/>
              </w:rPr>
              <w:t xml:space="preserve"> prévoit que </w:t>
            </w:r>
            <w:r w:rsidRPr="003A3A35">
              <w:rPr>
                <w:rFonts w:ascii="Times New Roman" w:hAnsi="Times New Roman"/>
                <w:b/>
                <w:sz w:val="24"/>
                <w:szCs w:val="24"/>
              </w:rPr>
              <w:t>l’élargissement à un secteur professionnel peut porter sur « tout ou partie » d’un accord ou d’une convention</w:t>
            </w:r>
            <w:r>
              <w:rPr>
                <w:rFonts w:ascii="Times New Roman" w:hAnsi="Times New Roman"/>
                <w:sz w:val="24"/>
                <w:szCs w:val="24"/>
              </w:rPr>
              <w:t>, et non plus sur cet accord ou cette convention dans son entier</w:t>
            </w:r>
            <w:r w:rsidR="003A3A35">
              <w:rPr>
                <w:rFonts w:ascii="Times New Roman" w:hAnsi="Times New Roman"/>
                <w:sz w:val="24"/>
                <w:szCs w:val="24"/>
              </w:rPr>
              <w:t>.</w:t>
            </w:r>
          </w:p>
          <w:p w:rsidR="007A33F4" w:rsidRPr="00BE483C" w:rsidRDefault="007A33F4" w:rsidP="007A33F4">
            <w:pPr>
              <w:ind w:left="0" w:firstLine="0"/>
              <w:rPr>
                <w:rFonts w:ascii="Times New Roman" w:hAnsi="Times New Roman"/>
                <w:sz w:val="24"/>
                <w:szCs w:val="24"/>
              </w:rPr>
            </w:pPr>
          </w:p>
        </w:tc>
      </w:tr>
    </w:tbl>
    <w:p w:rsidR="00C36570" w:rsidRDefault="00C36570" w:rsidP="006D1BF0">
      <w:pPr>
        <w:rPr>
          <w:rFonts w:ascii="Times New Roman" w:hAnsi="Times New Roman"/>
          <w:sz w:val="24"/>
          <w:szCs w:val="24"/>
        </w:rPr>
      </w:pPr>
    </w:p>
    <w:sectPr w:rsidR="00C36570" w:rsidSect="00E81335">
      <w:headerReference w:type="default" r:id="rId10"/>
      <w:footerReference w:type="default" r:id="rId11"/>
      <w:pgSz w:w="11906" w:h="16838" w:code="9"/>
      <w:pgMar w:top="1134" w:right="1418" w:bottom="1021" w:left="1418" w:header="397" w:footer="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725" w:rsidRDefault="00E57725" w:rsidP="00921085">
      <w:r>
        <w:separator/>
      </w:r>
    </w:p>
  </w:endnote>
  <w:endnote w:type="continuationSeparator" w:id="0">
    <w:p w:rsidR="00E57725" w:rsidRDefault="00E57725" w:rsidP="0092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31" w:rsidRPr="0079382C" w:rsidRDefault="004F1331" w:rsidP="00E81335">
    <w:pPr>
      <w:pStyle w:val="Pieddepage"/>
      <w:tabs>
        <w:tab w:val="clear" w:pos="9072"/>
        <w:tab w:val="right" w:pos="9781"/>
      </w:tabs>
      <w:ind w:hanging="709"/>
      <w:rPr>
        <w:rFonts w:ascii="Times New Roman" w:hAnsi="Times New Roman"/>
      </w:rPr>
    </w:pPr>
    <w:r w:rsidRPr="0079382C">
      <w:rPr>
        <w:rFonts w:ascii="Times New Roman" w:hAnsi="Times New Roman"/>
      </w:rPr>
      <w:tab/>
    </w:r>
    <w:r w:rsidRPr="0079382C">
      <w:rPr>
        <w:rFonts w:ascii="Times New Roman" w:hAnsi="Times New Roman"/>
      </w:rPr>
      <w:tab/>
    </w:r>
    <w:proofErr w:type="gramStart"/>
    <w:r w:rsidRPr="0079382C">
      <w:rPr>
        <w:rFonts w:ascii="Times New Roman" w:hAnsi="Times New Roman"/>
      </w:rPr>
      <w:t>page</w:t>
    </w:r>
    <w:proofErr w:type="gramEnd"/>
    <w:r w:rsidRPr="0079382C">
      <w:rPr>
        <w:rFonts w:ascii="Times New Roman" w:hAnsi="Times New Roman"/>
      </w:rPr>
      <w:t xml:space="preserv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D35069">
      <w:rPr>
        <w:rFonts w:ascii="Times New Roman" w:hAnsi="Times New Roman"/>
        <w:noProof/>
      </w:rPr>
      <w:t>1</w:t>
    </w:r>
    <w:r w:rsidRPr="0079382C">
      <w:rPr>
        <w:rFonts w:ascii="Times New Roman" w:hAnsi="Times New Roman"/>
      </w:rPr>
      <w:fldChar w:fldCharType="end"/>
    </w:r>
    <w:r w:rsidRPr="0079382C">
      <w:rPr>
        <w:rFonts w:ascii="Times New Roman" w:hAnsi="Times New Roman"/>
      </w:rPr>
      <w:t>/</w:t>
    </w:r>
    <w:r w:rsidR="00E57725">
      <w:fldChar w:fldCharType="begin"/>
    </w:r>
    <w:r w:rsidR="00E57725">
      <w:instrText xml:space="preserve"> NUMPAGES   \* MERGEFORMAT </w:instrText>
    </w:r>
    <w:r w:rsidR="00E57725">
      <w:fldChar w:fldCharType="separate"/>
    </w:r>
    <w:r w:rsidR="00D35069" w:rsidRPr="00D35069">
      <w:rPr>
        <w:rFonts w:ascii="Times New Roman" w:hAnsi="Times New Roman"/>
        <w:noProof/>
      </w:rPr>
      <w:t>1</w:t>
    </w:r>
    <w:r w:rsidR="00E57725">
      <w:rPr>
        <w:rFonts w:ascii="Times New Roman" w:hAnsi="Times New Roman"/>
        <w:noProof/>
      </w:rPr>
      <w:fldChar w:fldCharType="end"/>
    </w:r>
  </w:p>
  <w:p w:rsidR="004F1331" w:rsidRDefault="004F1331" w:rsidP="00E81335">
    <w:pPr>
      <w:pStyle w:val="Pieddepage"/>
      <w:jc w:val="center"/>
    </w:pPr>
    <w:r>
      <w:rPr>
        <w:noProof/>
      </w:rPr>
      <w:drawing>
        <wp:inline distT="0" distB="0" distL="0" distR="0" wp14:anchorId="608B5B10" wp14:editId="5D315C70">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725" w:rsidRDefault="00E57725" w:rsidP="00921085">
      <w:r>
        <w:separator/>
      </w:r>
    </w:p>
  </w:footnote>
  <w:footnote w:type="continuationSeparator" w:id="0">
    <w:p w:rsidR="00E57725" w:rsidRDefault="00E57725" w:rsidP="00921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31" w:rsidRPr="0079382C" w:rsidRDefault="00C36570">
    <w:pPr>
      <w:pStyle w:val="En-tte"/>
      <w:rPr>
        <w:rFonts w:ascii="Times New Roman" w:hAnsi="Times New Roman"/>
      </w:rPr>
    </w:pPr>
    <w:r>
      <w:rPr>
        <w:rFonts w:ascii="Times New Roman" w:hAnsi="Times New Roman"/>
      </w:rPr>
      <w:t>Ordonnance n° 2017-1388</w:t>
    </w:r>
    <w:r w:rsidR="004F1331" w:rsidRPr="0079382C">
      <w:rPr>
        <w:rFonts w:ascii="Times New Roman" w:hAnsi="Times New Roman"/>
      </w:rPr>
      <w:tab/>
    </w:r>
    <w:r w:rsidR="004F1331" w:rsidRPr="0079382C">
      <w:rPr>
        <w:rFonts w:ascii="Times New Roman" w:hAnsi="Times New Roman"/>
      </w:rPr>
      <w:tab/>
    </w:r>
    <w:r w:rsidR="004F1331">
      <w:rPr>
        <w:rFonts w:ascii="Times New Roman" w:hAnsi="Times New Roman"/>
      </w:rPr>
      <w:t>22/09/2017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4565_"/>
      </v:shape>
    </w:pict>
  </w:numPicBullet>
  <w:abstractNum w:abstractNumId="0">
    <w:nsid w:val="01205E02"/>
    <w:multiLevelType w:val="multilevel"/>
    <w:tmpl w:val="6864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504B3"/>
    <w:multiLevelType w:val="hybridMultilevel"/>
    <w:tmpl w:val="D07CA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36B4820"/>
    <w:multiLevelType w:val="hybridMultilevel"/>
    <w:tmpl w:val="4BFA2B3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08BD67FF"/>
    <w:multiLevelType w:val="hybridMultilevel"/>
    <w:tmpl w:val="85C68C7E"/>
    <w:lvl w:ilvl="0" w:tplc="6CCE78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BB0C3C"/>
    <w:multiLevelType w:val="hybridMultilevel"/>
    <w:tmpl w:val="32C86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A632656"/>
    <w:multiLevelType w:val="hybridMultilevel"/>
    <w:tmpl w:val="24227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AF46327"/>
    <w:multiLevelType w:val="hybridMultilevel"/>
    <w:tmpl w:val="4202A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7055D0F"/>
    <w:multiLevelType w:val="hybridMultilevel"/>
    <w:tmpl w:val="FB4E6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7292C9D"/>
    <w:multiLevelType w:val="hybridMultilevel"/>
    <w:tmpl w:val="DF903328"/>
    <w:lvl w:ilvl="0" w:tplc="4578718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B7740A"/>
    <w:multiLevelType w:val="hybridMultilevel"/>
    <w:tmpl w:val="D67CCB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B8774A"/>
    <w:multiLevelType w:val="hybridMultilevel"/>
    <w:tmpl w:val="AC4C6A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78D7C08"/>
    <w:multiLevelType w:val="hybridMultilevel"/>
    <w:tmpl w:val="4594B8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DB2238"/>
    <w:multiLevelType w:val="hybridMultilevel"/>
    <w:tmpl w:val="031219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043480A"/>
    <w:multiLevelType w:val="hybridMultilevel"/>
    <w:tmpl w:val="33DE3F3A"/>
    <w:lvl w:ilvl="0" w:tplc="FAF07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25F2425"/>
    <w:multiLevelType w:val="hybridMultilevel"/>
    <w:tmpl w:val="C95C89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3E6394A"/>
    <w:multiLevelType w:val="hybridMultilevel"/>
    <w:tmpl w:val="3676C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BAB46A8"/>
    <w:multiLevelType w:val="hybridMultilevel"/>
    <w:tmpl w:val="9F169C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D8263F4"/>
    <w:multiLevelType w:val="multilevel"/>
    <w:tmpl w:val="AAE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4C726B"/>
    <w:multiLevelType w:val="multilevel"/>
    <w:tmpl w:val="629A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0B532D"/>
    <w:multiLevelType w:val="hybridMultilevel"/>
    <w:tmpl w:val="0A82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BD97A95"/>
    <w:multiLevelType w:val="hybridMultilevel"/>
    <w:tmpl w:val="13C6F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2054EF6"/>
    <w:multiLevelType w:val="hybridMultilevel"/>
    <w:tmpl w:val="73A29D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8AD0554"/>
    <w:multiLevelType w:val="hybridMultilevel"/>
    <w:tmpl w:val="377275DC"/>
    <w:lvl w:ilvl="0" w:tplc="7FFEBF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D3A222D"/>
    <w:multiLevelType w:val="multilevel"/>
    <w:tmpl w:val="9AA64CA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E2E1C9E"/>
    <w:multiLevelType w:val="hybridMultilevel"/>
    <w:tmpl w:val="118475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3DF1458"/>
    <w:multiLevelType w:val="multilevel"/>
    <w:tmpl w:val="3836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E55675"/>
    <w:multiLevelType w:val="hybridMultilevel"/>
    <w:tmpl w:val="3D58E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52557A6"/>
    <w:multiLevelType w:val="multilevel"/>
    <w:tmpl w:val="A8C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8C3DFC"/>
    <w:multiLevelType w:val="hybridMultilevel"/>
    <w:tmpl w:val="4EB4A5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15"/>
  </w:num>
  <w:num w:numId="5">
    <w:abstractNumId w:val="17"/>
  </w:num>
  <w:num w:numId="6">
    <w:abstractNumId w:val="11"/>
  </w:num>
  <w:num w:numId="7">
    <w:abstractNumId w:val="8"/>
  </w:num>
  <w:num w:numId="8">
    <w:abstractNumId w:val="2"/>
  </w:num>
  <w:num w:numId="9">
    <w:abstractNumId w:val="4"/>
  </w:num>
  <w:num w:numId="10">
    <w:abstractNumId w:val="21"/>
  </w:num>
  <w:num w:numId="11">
    <w:abstractNumId w:val="20"/>
  </w:num>
  <w:num w:numId="12">
    <w:abstractNumId w:val="5"/>
  </w:num>
  <w:num w:numId="13">
    <w:abstractNumId w:val="27"/>
  </w:num>
  <w:num w:numId="14">
    <w:abstractNumId w:val="9"/>
  </w:num>
  <w:num w:numId="15">
    <w:abstractNumId w:val="29"/>
  </w:num>
  <w:num w:numId="16">
    <w:abstractNumId w:val="7"/>
  </w:num>
  <w:num w:numId="17">
    <w:abstractNumId w:val="23"/>
  </w:num>
  <w:num w:numId="18">
    <w:abstractNumId w:val="3"/>
  </w:num>
  <w:num w:numId="19">
    <w:abstractNumId w:val="0"/>
  </w:num>
  <w:num w:numId="20">
    <w:abstractNumId w:val="14"/>
  </w:num>
  <w:num w:numId="21">
    <w:abstractNumId w:val="16"/>
  </w:num>
  <w:num w:numId="22">
    <w:abstractNumId w:val="28"/>
  </w:num>
  <w:num w:numId="23">
    <w:abstractNumId w:val="25"/>
  </w:num>
  <w:num w:numId="24">
    <w:abstractNumId w:val="24"/>
  </w:num>
  <w:num w:numId="25">
    <w:abstractNumId w:val="19"/>
  </w:num>
  <w:num w:numId="26">
    <w:abstractNumId w:val="26"/>
  </w:num>
  <w:num w:numId="27">
    <w:abstractNumId w:val="1"/>
  </w:num>
  <w:num w:numId="28">
    <w:abstractNumId w:val="6"/>
  </w:num>
  <w:num w:numId="29">
    <w:abstractNumId w:val="22"/>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BF0"/>
    <w:rsid w:val="000056A6"/>
    <w:rsid w:val="00031842"/>
    <w:rsid w:val="00036AD0"/>
    <w:rsid w:val="000770B9"/>
    <w:rsid w:val="00081240"/>
    <w:rsid w:val="0009206D"/>
    <w:rsid w:val="000965BD"/>
    <w:rsid w:val="000F73C5"/>
    <w:rsid w:val="00155B74"/>
    <w:rsid w:val="00156E27"/>
    <w:rsid w:val="001B2BD4"/>
    <w:rsid w:val="001C3628"/>
    <w:rsid w:val="001D4A82"/>
    <w:rsid w:val="001F3E71"/>
    <w:rsid w:val="001F4D90"/>
    <w:rsid w:val="001F74DA"/>
    <w:rsid w:val="002062CE"/>
    <w:rsid w:val="00261EA0"/>
    <w:rsid w:val="00276E45"/>
    <w:rsid w:val="002F4E59"/>
    <w:rsid w:val="00302873"/>
    <w:rsid w:val="0030753A"/>
    <w:rsid w:val="003A3A35"/>
    <w:rsid w:val="003B0729"/>
    <w:rsid w:val="003B3515"/>
    <w:rsid w:val="00487462"/>
    <w:rsid w:val="00490584"/>
    <w:rsid w:val="004B7079"/>
    <w:rsid w:val="004D1D46"/>
    <w:rsid w:val="004F1331"/>
    <w:rsid w:val="004F38C4"/>
    <w:rsid w:val="005079C9"/>
    <w:rsid w:val="0051251A"/>
    <w:rsid w:val="00551911"/>
    <w:rsid w:val="0055537C"/>
    <w:rsid w:val="00561AC7"/>
    <w:rsid w:val="005D3469"/>
    <w:rsid w:val="006027A1"/>
    <w:rsid w:val="00622C82"/>
    <w:rsid w:val="0067160A"/>
    <w:rsid w:val="006D1BF0"/>
    <w:rsid w:val="00755F98"/>
    <w:rsid w:val="00760CFB"/>
    <w:rsid w:val="00767964"/>
    <w:rsid w:val="00781CAE"/>
    <w:rsid w:val="0078563D"/>
    <w:rsid w:val="00791284"/>
    <w:rsid w:val="007A33F4"/>
    <w:rsid w:val="00805D67"/>
    <w:rsid w:val="00845EC6"/>
    <w:rsid w:val="008514DF"/>
    <w:rsid w:val="0086747D"/>
    <w:rsid w:val="008D543D"/>
    <w:rsid w:val="008E1C8A"/>
    <w:rsid w:val="008F16EA"/>
    <w:rsid w:val="00903B54"/>
    <w:rsid w:val="00904D19"/>
    <w:rsid w:val="00921085"/>
    <w:rsid w:val="00955555"/>
    <w:rsid w:val="009662F0"/>
    <w:rsid w:val="009938F6"/>
    <w:rsid w:val="009E195A"/>
    <w:rsid w:val="00A17CD7"/>
    <w:rsid w:val="00A42369"/>
    <w:rsid w:val="00A742F9"/>
    <w:rsid w:val="00A751D2"/>
    <w:rsid w:val="00A960DA"/>
    <w:rsid w:val="00AC3AF2"/>
    <w:rsid w:val="00AE3075"/>
    <w:rsid w:val="00AE6EBD"/>
    <w:rsid w:val="00AF63C6"/>
    <w:rsid w:val="00B2047D"/>
    <w:rsid w:val="00B4203B"/>
    <w:rsid w:val="00B52E36"/>
    <w:rsid w:val="00B75129"/>
    <w:rsid w:val="00BD46AE"/>
    <w:rsid w:val="00BE46C3"/>
    <w:rsid w:val="00BE483C"/>
    <w:rsid w:val="00C04F7F"/>
    <w:rsid w:val="00C05919"/>
    <w:rsid w:val="00C342F6"/>
    <w:rsid w:val="00C36570"/>
    <w:rsid w:val="00C42973"/>
    <w:rsid w:val="00C75100"/>
    <w:rsid w:val="00C9406D"/>
    <w:rsid w:val="00D011B2"/>
    <w:rsid w:val="00D35069"/>
    <w:rsid w:val="00D8733E"/>
    <w:rsid w:val="00D90B47"/>
    <w:rsid w:val="00D949B0"/>
    <w:rsid w:val="00DC3C4C"/>
    <w:rsid w:val="00DF2DCA"/>
    <w:rsid w:val="00E001AB"/>
    <w:rsid w:val="00E01F29"/>
    <w:rsid w:val="00E166EE"/>
    <w:rsid w:val="00E52DE7"/>
    <w:rsid w:val="00E56981"/>
    <w:rsid w:val="00E57725"/>
    <w:rsid w:val="00E62A87"/>
    <w:rsid w:val="00E7706E"/>
    <w:rsid w:val="00E81335"/>
    <w:rsid w:val="00EB7268"/>
    <w:rsid w:val="00EC6171"/>
    <w:rsid w:val="00F049B1"/>
    <w:rsid w:val="00F95C4F"/>
    <w:rsid w:val="00FC52D0"/>
    <w:rsid w:val="00FF16E3"/>
    <w:rsid w:val="00FF22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F0"/>
    <w:pPr>
      <w:spacing w:after="0" w:line="240" w:lineRule="auto"/>
      <w:jc w:val="both"/>
    </w:pPr>
    <w:rPr>
      <w:rFonts w:ascii="Calibri" w:eastAsia="Times New Roman" w:hAnsi="Calibri" w:cs="Times New Roman"/>
      <w:szCs w:val="20"/>
      <w:lang w:eastAsia="fr-FR"/>
    </w:rPr>
  </w:style>
  <w:style w:type="paragraph" w:styleId="Titre2">
    <w:name w:val="heading 2"/>
    <w:basedOn w:val="Normal"/>
    <w:next w:val="Normal"/>
    <w:link w:val="Titre2Car"/>
    <w:uiPriority w:val="9"/>
    <w:semiHidden/>
    <w:unhideWhenUsed/>
    <w:qFormat/>
    <w:rsid w:val="00E77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D3469"/>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51911"/>
    <w:pPr>
      <w:spacing w:before="100" w:beforeAutospacing="1" w:after="100" w:afterAutospacing="1"/>
      <w:jc w:val="left"/>
      <w:outlineLvl w:val="3"/>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6D1BF0"/>
    <w:pPr>
      <w:numPr>
        <w:numId w:val="1"/>
      </w:numPr>
      <w:tabs>
        <w:tab w:val="left" w:pos="567"/>
      </w:tabs>
      <w:spacing w:after="120"/>
      <w:ind w:left="568" w:hanging="284"/>
    </w:pPr>
  </w:style>
  <w:style w:type="character" w:styleId="Lienhypertexte">
    <w:name w:val="Hyperlink"/>
    <w:uiPriority w:val="99"/>
    <w:rsid w:val="006D1BF0"/>
    <w:rPr>
      <w:color w:val="0000FF"/>
      <w:u w:val="single"/>
    </w:rPr>
  </w:style>
  <w:style w:type="paragraph" w:styleId="En-tte">
    <w:name w:val="header"/>
    <w:basedOn w:val="Normal"/>
    <w:link w:val="En-tteCar"/>
    <w:uiPriority w:val="99"/>
    <w:unhideWhenUsed/>
    <w:rsid w:val="006D1BF0"/>
    <w:pPr>
      <w:tabs>
        <w:tab w:val="center" w:pos="4536"/>
        <w:tab w:val="right" w:pos="9072"/>
      </w:tabs>
    </w:pPr>
  </w:style>
  <w:style w:type="character" w:customStyle="1" w:styleId="En-tteCar">
    <w:name w:val="En-tête Car"/>
    <w:basedOn w:val="Policepardfaut"/>
    <w:link w:val="En-tte"/>
    <w:uiPriority w:val="99"/>
    <w:rsid w:val="006D1BF0"/>
    <w:rPr>
      <w:rFonts w:ascii="Calibri" w:eastAsia="Times New Roman" w:hAnsi="Calibri" w:cs="Times New Roman"/>
      <w:szCs w:val="20"/>
      <w:lang w:eastAsia="fr-FR"/>
    </w:rPr>
  </w:style>
  <w:style w:type="paragraph" w:styleId="Pieddepage">
    <w:name w:val="footer"/>
    <w:basedOn w:val="Normal"/>
    <w:link w:val="PieddepageCar"/>
    <w:unhideWhenUsed/>
    <w:rsid w:val="006D1BF0"/>
    <w:pPr>
      <w:tabs>
        <w:tab w:val="center" w:pos="4536"/>
        <w:tab w:val="right" w:pos="9072"/>
      </w:tabs>
    </w:pPr>
  </w:style>
  <w:style w:type="character" w:customStyle="1" w:styleId="PieddepageCar">
    <w:name w:val="Pied de page Car"/>
    <w:basedOn w:val="Policepardfaut"/>
    <w:link w:val="Pieddepage"/>
    <w:rsid w:val="006D1BF0"/>
    <w:rPr>
      <w:rFonts w:ascii="Calibri" w:eastAsia="Times New Roman" w:hAnsi="Calibri" w:cs="Times New Roman"/>
      <w:szCs w:val="20"/>
      <w:lang w:eastAsia="fr-FR"/>
    </w:rPr>
  </w:style>
  <w:style w:type="paragraph" w:styleId="Paragraphedeliste">
    <w:name w:val="List Paragraph"/>
    <w:basedOn w:val="Normal"/>
    <w:uiPriority w:val="34"/>
    <w:qFormat/>
    <w:rsid w:val="006D1BF0"/>
    <w:pPr>
      <w:ind w:left="720"/>
      <w:contextualSpacing/>
    </w:pPr>
  </w:style>
  <w:style w:type="table" w:styleId="Grilledutableau">
    <w:name w:val="Table Grid"/>
    <w:basedOn w:val="TableauNormal"/>
    <w:uiPriority w:val="59"/>
    <w:rsid w:val="006D1BF0"/>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6D1BF0"/>
    <w:rPr>
      <w:rFonts w:ascii="Tahoma" w:hAnsi="Tahoma" w:cs="Tahoma"/>
      <w:sz w:val="16"/>
      <w:szCs w:val="16"/>
    </w:rPr>
  </w:style>
  <w:style w:type="character" w:customStyle="1" w:styleId="TextedebullesCar">
    <w:name w:val="Texte de bulles Car"/>
    <w:basedOn w:val="Policepardfaut"/>
    <w:link w:val="Textedebulles"/>
    <w:uiPriority w:val="99"/>
    <w:semiHidden/>
    <w:rsid w:val="006D1BF0"/>
    <w:rPr>
      <w:rFonts w:ascii="Tahoma" w:eastAsia="Times New Roman" w:hAnsi="Tahoma" w:cs="Tahoma"/>
      <w:sz w:val="16"/>
      <w:szCs w:val="16"/>
      <w:lang w:eastAsia="fr-FR"/>
    </w:rPr>
  </w:style>
  <w:style w:type="paragraph" w:styleId="NormalWeb">
    <w:name w:val="Normal (Web)"/>
    <w:basedOn w:val="Normal"/>
    <w:uiPriority w:val="99"/>
    <w:semiHidden/>
    <w:unhideWhenUsed/>
    <w:rsid w:val="003B3515"/>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rsid w:val="00551911"/>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551911"/>
    <w:rPr>
      <w:b/>
      <w:bCs/>
    </w:rPr>
  </w:style>
  <w:style w:type="character" w:styleId="Lienhypertextesuivivisit">
    <w:name w:val="FollowedHyperlink"/>
    <w:basedOn w:val="Policepardfaut"/>
    <w:uiPriority w:val="99"/>
    <w:semiHidden/>
    <w:unhideWhenUsed/>
    <w:rsid w:val="0086747D"/>
    <w:rPr>
      <w:color w:val="800080" w:themeColor="followedHyperlink"/>
      <w:u w:val="single"/>
    </w:rPr>
  </w:style>
  <w:style w:type="character" w:customStyle="1" w:styleId="Titre3Car">
    <w:name w:val="Titre 3 Car"/>
    <w:basedOn w:val="Policepardfaut"/>
    <w:link w:val="Titre3"/>
    <w:uiPriority w:val="9"/>
    <w:semiHidden/>
    <w:rsid w:val="005D3469"/>
    <w:rPr>
      <w:rFonts w:asciiTheme="majorHAnsi" w:eastAsiaTheme="majorEastAsia" w:hAnsiTheme="majorHAnsi" w:cstheme="majorBidi"/>
      <w:b/>
      <w:bCs/>
      <w:color w:val="4F81BD" w:themeColor="accent1"/>
      <w:szCs w:val="20"/>
      <w:lang w:eastAsia="fr-FR"/>
    </w:rPr>
  </w:style>
  <w:style w:type="character" w:styleId="Accentuation">
    <w:name w:val="Emphasis"/>
    <w:basedOn w:val="Policepardfaut"/>
    <w:uiPriority w:val="20"/>
    <w:qFormat/>
    <w:rsid w:val="0078563D"/>
    <w:rPr>
      <w:i/>
      <w:iCs/>
    </w:rPr>
  </w:style>
  <w:style w:type="character" w:customStyle="1" w:styleId="Titre2Car">
    <w:name w:val="Titre 2 Car"/>
    <w:basedOn w:val="Policepardfaut"/>
    <w:link w:val="Titre2"/>
    <w:uiPriority w:val="9"/>
    <w:semiHidden/>
    <w:rsid w:val="00E7706E"/>
    <w:rPr>
      <w:rFonts w:asciiTheme="majorHAnsi" w:eastAsiaTheme="majorEastAsia" w:hAnsiTheme="majorHAnsi" w:cstheme="majorBidi"/>
      <w:b/>
      <w:bCs/>
      <w:color w:val="4F81BD" w:themeColor="accent1"/>
      <w:sz w:val="26"/>
      <w:szCs w:val="2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BF0"/>
    <w:pPr>
      <w:spacing w:after="0" w:line="240" w:lineRule="auto"/>
      <w:jc w:val="both"/>
    </w:pPr>
    <w:rPr>
      <w:rFonts w:ascii="Calibri" w:eastAsia="Times New Roman" w:hAnsi="Calibri" w:cs="Times New Roman"/>
      <w:szCs w:val="20"/>
      <w:lang w:eastAsia="fr-FR"/>
    </w:rPr>
  </w:style>
  <w:style w:type="paragraph" w:styleId="Titre2">
    <w:name w:val="heading 2"/>
    <w:basedOn w:val="Normal"/>
    <w:next w:val="Normal"/>
    <w:link w:val="Titre2Car"/>
    <w:uiPriority w:val="9"/>
    <w:semiHidden/>
    <w:unhideWhenUsed/>
    <w:qFormat/>
    <w:rsid w:val="00E77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D3469"/>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51911"/>
    <w:pPr>
      <w:spacing w:before="100" w:beforeAutospacing="1" w:after="100" w:afterAutospacing="1"/>
      <w:jc w:val="left"/>
      <w:outlineLvl w:val="3"/>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6D1BF0"/>
    <w:pPr>
      <w:numPr>
        <w:numId w:val="1"/>
      </w:numPr>
      <w:tabs>
        <w:tab w:val="left" w:pos="567"/>
      </w:tabs>
      <w:spacing w:after="120"/>
      <w:ind w:left="568" w:hanging="284"/>
    </w:pPr>
  </w:style>
  <w:style w:type="character" w:styleId="Lienhypertexte">
    <w:name w:val="Hyperlink"/>
    <w:uiPriority w:val="99"/>
    <w:rsid w:val="006D1BF0"/>
    <w:rPr>
      <w:color w:val="0000FF"/>
      <w:u w:val="single"/>
    </w:rPr>
  </w:style>
  <w:style w:type="paragraph" w:styleId="En-tte">
    <w:name w:val="header"/>
    <w:basedOn w:val="Normal"/>
    <w:link w:val="En-tteCar"/>
    <w:uiPriority w:val="99"/>
    <w:unhideWhenUsed/>
    <w:rsid w:val="006D1BF0"/>
    <w:pPr>
      <w:tabs>
        <w:tab w:val="center" w:pos="4536"/>
        <w:tab w:val="right" w:pos="9072"/>
      </w:tabs>
    </w:pPr>
  </w:style>
  <w:style w:type="character" w:customStyle="1" w:styleId="En-tteCar">
    <w:name w:val="En-tête Car"/>
    <w:basedOn w:val="Policepardfaut"/>
    <w:link w:val="En-tte"/>
    <w:uiPriority w:val="99"/>
    <w:rsid w:val="006D1BF0"/>
    <w:rPr>
      <w:rFonts w:ascii="Calibri" w:eastAsia="Times New Roman" w:hAnsi="Calibri" w:cs="Times New Roman"/>
      <w:szCs w:val="20"/>
      <w:lang w:eastAsia="fr-FR"/>
    </w:rPr>
  </w:style>
  <w:style w:type="paragraph" w:styleId="Pieddepage">
    <w:name w:val="footer"/>
    <w:basedOn w:val="Normal"/>
    <w:link w:val="PieddepageCar"/>
    <w:unhideWhenUsed/>
    <w:rsid w:val="006D1BF0"/>
    <w:pPr>
      <w:tabs>
        <w:tab w:val="center" w:pos="4536"/>
        <w:tab w:val="right" w:pos="9072"/>
      </w:tabs>
    </w:pPr>
  </w:style>
  <w:style w:type="character" w:customStyle="1" w:styleId="PieddepageCar">
    <w:name w:val="Pied de page Car"/>
    <w:basedOn w:val="Policepardfaut"/>
    <w:link w:val="Pieddepage"/>
    <w:rsid w:val="006D1BF0"/>
    <w:rPr>
      <w:rFonts w:ascii="Calibri" w:eastAsia="Times New Roman" w:hAnsi="Calibri" w:cs="Times New Roman"/>
      <w:szCs w:val="20"/>
      <w:lang w:eastAsia="fr-FR"/>
    </w:rPr>
  </w:style>
  <w:style w:type="paragraph" w:styleId="Paragraphedeliste">
    <w:name w:val="List Paragraph"/>
    <w:basedOn w:val="Normal"/>
    <w:uiPriority w:val="34"/>
    <w:qFormat/>
    <w:rsid w:val="006D1BF0"/>
    <w:pPr>
      <w:ind w:left="720"/>
      <w:contextualSpacing/>
    </w:pPr>
  </w:style>
  <w:style w:type="table" w:styleId="Grilledutableau">
    <w:name w:val="Table Grid"/>
    <w:basedOn w:val="TableauNormal"/>
    <w:uiPriority w:val="59"/>
    <w:rsid w:val="006D1BF0"/>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6D1BF0"/>
    <w:rPr>
      <w:rFonts w:ascii="Tahoma" w:hAnsi="Tahoma" w:cs="Tahoma"/>
      <w:sz w:val="16"/>
      <w:szCs w:val="16"/>
    </w:rPr>
  </w:style>
  <w:style w:type="character" w:customStyle="1" w:styleId="TextedebullesCar">
    <w:name w:val="Texte de bulles Car"/>
    <w:basedOn w:val="Policepardfaut"/>
    <w:link w:val="Textedebulles"/>
    <w:uiPriority w:val="99"/>
    <w:semiHidden/>
    <w:rsid w:val="006D1BF0"/>
    <w:rPr>
      <w:rFonts w:ascii="Tahoma" w:eastAsia="Times New Roman" w:hAnsi="Tahoma" w:cs="Tahoma"/>
      <w:sz w:val="16"/>
      <w:szCs w:val="16"/>
      <w:lang w:eastAsia="fr-FR"/>
    </w:rPr>
  </w:style>
  <w:style w:type="paragraph" w:styleId="NormalWeb">
    <w:name w:val="Normal (Web)"/>
    <w:basedOn w:val="Normal"/>
    <w:uiPriority w:val="99"/>
    <w:semiHidden/>
    <w:unhideWhenUsed/>
    <w:rsid w:val="003B3515"/>
    <w:pPr>
      <w:spacing w:before="100" w:beforeAutospacing="1" w:after="100" w:afterAutospacing="1"/>
      <w:jc w:val="left"/>
    </w:pPr>
    <w:rPr>
      <w:rFonts w:ascii="Times New Roman" w:hAnsi="Times New Roman"/>
      <w:sz w:val="24"/>
      <w:szCs w:val="24"/>
    </w:rPr>
  </w:style>
  <w:style w:type="character" w:customStyle="1" w:styleId="Titre4Car">
    <w:name w:val="Titre 4 Car"/>
    <w:basedOn w:val="Policepardfaut"/>
    <w:link w:val="Titre4"/>
    <w:uiPriority w:val="9"/>
    <w:rsid w:val="00551911"/>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551911"/>
    <w:rPr>
      <w:b/>
      <w:bCs/>
    </w:rPr>
  </w:style>
  <w:style w:type="character" w:styleId="Lienhypertextesuivivisit">
    <w:name w:val="FollowedHyperlink"/>
    <w:basedOn w:val="Policepardfaut"/>
    <w:uiPriority w:val="99"/>
    <w:semiHidden/>
    <w:unhideWhenUsed/>
    <w:rsid w:val="0086747D"/>
    <w:rPr>
      <w:color w:val="800080" w:themeColor="followedHyperlink"/>
      <w:u w:val="single"/>
    </w:rPr>
  </w:style>
  <w:style w:type="character" w:customStyle="1" w:styleId="Titre3Car">
    <w:name w:val="Titre 3 Car"/>
    <w:basedOn w:val="Policepardfaut"/>
    <w:link w:val="Titre3"/>
    <w:uiPriority w:val="9"/>
    <w:semiHidden/>
    <w:rsid w:val="005D3469"/>
    <w:rPr>
      <w:rFonts w:asciiTheme="majorHAnsi" w:eastAsiaTheme="majorEastAsia" w:hAnsiTheme="majorHAnsi" w:cstheme="majorBidi"/>
      <w:b/>
      <w:bCs/>
      <w:color w:val="4F81BD" w:themeColor="accent1"/>
      <w:szCs w:val="20"/>
      <w:lang w:eastAsia="fr-FR"/>
    </w:rPr>
  </w:style>
  <w:style w:type="character" w:styleId="Accentuation">
    <w:name w:val="Emphasis"/>
    <w:basedOn w:val="Policepardfaut"/>
    <w:uiPriority w:val="20"/>
    <w:qFormat/>
    <w:rsid w:val="0078563D"/>
    <w:rPr>
      <w:i/>
      <w:iCs/>
    </w:rPr>
  </w:style>
  <w:style w:type="character" w:customStyle="1" w:styleId="Titre2Car">
    <w:name w:val="Titre 2 Car"/>
    <w:basedOn w:val="Policepardfaut"/>
    <w:link w:val="Titre2"/>
    <w:uiPriority w:val="9"/>
    <w:semiHidden/>
    <w:rsid w:val="00E7706E"/>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4053">
      <w:bodyDiv w:val="1"/>
      <w:marLeft w:val="0"/>
      <w:marRight w:val="0"/>
      <w:marTop w:val="0"/>
      <w:marBottom w:val="0"/>
      <w:divBdr>
        <w:top w:val="none" w:sz="0" w:space="0" w:color="auto"/>
        <w:left w:val="none" w:sz="0" w:space="0" w:color="auto"/>
        <w:bottom w:val="none" w:sz="0" w:space="0" w:color="auto"/>
        <w:right w:val="none" w:sz="0" w:space="0" w:color="auto"/>
      </w:divBdr>
      <w:divsChild>
        <w:div w:id="1764495783">
          <w:marLeft w:val="0"/>
          <w:marRight w:val="0"/>
          <w:marTop w:val="0"/>
          <w:marBottom w:val="0"/>
          <w:divBdr>
            <w:top w:val="none" w:sz="0" w:space="0" w:color="auto"/>
            <w:left w:val="none" w:sz="0" w:space="0" w:color="auto"/>
            <w:bottom w:val="none" w:sz="0" w:space="0" w:color="auto"/>
            <w:right w:val="none" w:sz="0" w:space="0" w:color="auto"/>
          </w:divBdr>
        </w:div>
      </w:divsChild>
    </w:div>
    <w:div w:id="91319746">
      <w:bodyDiv w:val="1"/>
      <w:marLeft w:val="0"/>
      <w:marRight w:val="0"/>
      <w:marTop w:val="0"/>
      <w:marBottom w:val="0"/>
      <w:divBdr>
        <w:top w:val="none" w:sz="0" w:space="0" w:color="auto"/>
        <w:left w:val="none" w:sz="0" w:space="0" w:color="auto"/>
        <w:bottom w:val="none" w:sz="0" w:space="0" w:color="auto"/>
        <w:right w:val="none" w:sz="0" w:space="0" w:color="auto"/>
      </w:divBdr>
    </w:div>
    <w:div w:id="111174040">
      <w:bodyDiv w:val="1"/>
      <w:marLeft w:val="0"/>
      <w:marRight w:val="0"/>
      <w:marTop w:val="0"/>
      <w:marBottom w:val="0"/>
      <w:divBdr>
        <w:top w:val="none" w:sz="0" w:space="0" w:color="auto"/>
        <w:left w:val="none" w:sz="0" w:space="0" w:color="auto"/>
        <w:bottom w:val="none" w:sz="0" w:space="0" w:color="auto"/>
        <w:right w:val="none" w:sz="0" w:space="0" w:color="auto"/>
      </w:divBdr>
    </w:div>
    <w:div w:id="149560347">
      <w:bodyDiv w:val="1"/>
      <w:marLeft w:val="0"/>
      <w:marRight w:val="0"/>
      <w:marTop w:val="0"/>
      <w:marBottom w:val="0"/>
      <w:divBdr>
        <w:top w:val="none" w:sz="0" w:space="0" w:color="auto"/>
        <w:left w:val="none" w:sz="0" w:space="0" w:color="auto"/>
        <w:bottom w:val="none" w:sz="0" w:space="0" w:color="auto"/>
        <w:right w:val="none" w:sz="0" w:space="0" w:color="auto"/>
      </w:divBdr>
    </w:div>
    <w:div w:id="172259193">
      <w:bodyDiv w:val="1"/>
      <w:marLeft w:val="0"/>
      <w:marRight w:val="0"/>
      <w:marTop w:val="0"/>
      <w:marBottom w:val="0"/>
      <w:divBdr>
        <w:top w:val="none" w:sz="0" w:space="0" w:color="auto"/>
        <w:left w:val="none" w:sz="0" w:space="0" w:color="auto"/>
        <w:bottom w:val="none" w:sz="0" w:space="0" w:color="auto"/>
        <w:right w:val="none" w:sz="0" w:space="0" w:color="auto"/>
      </w:divBdr>
    </w:div>
    <w:div w:id="286082350">
      <w:bodyDiv w:val="1"/>
      <w:marLeft w:val="0"/>
      <w:marRight w:val="0"/>
      <w:marTop w:val="0"/>
      <w:marBottom w:val="0"/>
      <w:divBdr>
        <w:top w:val="none" w:sz="0" w:space="0" w:color="auto"/>
        <w:left w:val="none" w:sz="0" w:space="0" w:color="auto"/>
        <w:bottom w:val="none" w:sz="0" w:space="0" w:color="auto"/>
        <w:right w:val="none" w:sz="0" w:space="0" w:color="auto"/>
      </w:divBdr>
    </w:div>
    <w:div w:id="449861451">
      <w:bodyDiv w:val="1"/>
      <w:marLeft w:val="0"/>
      <w:marRight w:val="0"/>
      <w:marTop w:val="0"/>
      <w:marBottom w:val="0"/>
      <w:divBdr>
        <w:top w:val="none" w:sz="0" w:space="0" w:color="auto"/>
        <w:left w:val="none" w:sz="0" w:space="0" w:color="auto"/>
        <w:bottom w:val="none" w:sz="0" w:space="0" w:color="auto"/>
        <w:right w:val="none" w:sz="0" w:space="0" w:color="auto"/>
      </w:divBdr>
    </w:div>
    <w:div w:id="589242642">
      <w:bodyDiv w:val="1"/>
      <w:marLeft w:val="0"/>
      <w:marRight w:val="0"/>
      <w:marTop w:val="0"/>
      <w:marBottom w:val="0"/>
      <w:divBdr>
        <w:top w:val="none" w:sz="0" w:space="0" w:color="auto"/>
        <w:left w:val="none" w:sz="0" w:space="0" w:color="auto"/>
        <w:bottom w:val="none" w:sz="0" w:space="0" w:color="auto"/>
        <w:right w:val="none" w:sz="0" w:space="0" w:color="auto"/>
      </w:divBdr>
    </w:div>
    <w:div w:id="805662520">
      <w:bodyDiv w:val="1"/>
      <w:marLeft w:val="0"/>
      <w:marRight w:val="0"/>
      <w:marTop w:val="0"/>
      <w:marBottom w:val="0"/>
      <w:divBdr>
        <w:top w:val="none" w:sz="0" w:space="0" w:color="auto"/>
        <w:left w:val="none" w:sz="0" w:space="0" w:color="auto"/>
        <w:bottom w:val="none" w:sz="0" w:space="0" w:color="auto"/>
        <w:right w:val="none" w:sz="0" w:space="0" w:color="auto"/>
      </w:divBdr>
      <w:divsChild>
        <w:div w:id="671369436">
          <w:marLeft w:val="0"/>
          <w:marRight w:val="0"/>
          <w:marTop w:val="0"/>
          <w:marBottom w:val="0"/>
          <w:divBdr>
            <w:top w:val="none" w:sz="0" w:space="0" w:color="auto"/>
            <w:left w:val="none" w:sz="0" w:space="0" w:color="auto"/>
            <w:bottom w:val="none" w:sz="0" w:space="0" w:color="auto"/>
            <w:right w:val="none" w:sz="0" w:space="0" w:color="auto"/>
          </w:divBdr>
        </w:div>
        <w:div w:id="830297489">
          <w:marLeft w:val="0"/>
          <w:marRight w:val="0"/>
          <w:marTop w:val="0"/>
          <w:marBottom w:val="0"/>
          <w:divBdr>
            <w:top w:val="none" w:sz="0" w:space="0" w:color="auto"/>
            <w:left w:val="none" w:sz="0" w:space="0" w:color="auto"/>
            <w:bottom w:val="none" w:sz="0" w:space="0" w:color="auto"/>
            <w:right w:val="none" w:sz="0" w:space="0" w:color="auto"/>
          </w:divBdr>
        </w:div>
      </w:divsChild>
    </w:div>
    <w:div w:id="832992593">
      <w:bodyDiv w:val="1"/>
      <w:marLeft w:val="0"/>
      <w:marRight w:val="0"/>
      <w:marTop w:val="0"/>
      <w:marBottom w:val="0"/>
      <w:divBdr>
        <w:top w:val="none" w:sz="0" w:space="0" w:color="auto"/>
        <w:left w:val="none" w:sz="0" w:space="0" w:color="auto"/>
        <w:bottom w:val="none" w:sz="0" w:space="0" w:color="auto"/>
        <w:right w:val="none" w:sz="0" w:space="0" w:color="auto"/>
      </w:divBdr>
    </w:div>
    <w:div w:id="1007633130">
      <w:bodyDiv w:val="1"/>
      <w:marLeft w:val="0"/>
      <w:marRight w:val="0"/>
      <w:marTop w:val="0"/>
      <w:marBottom w:val="0"/>
      <w:divBdr>
        <w:top w:val="none" w:sz="0" w:space="0" w:color="auto"/>
        <w:left w:val="none" w:sz="0" w:space="0" w:color="auto"/>
        <w:bottom w:val="none" w:sz="0" w:space="0" w:color="auto"/>
        <w:right w:val="none" w:sz="0" w:space="0" w:color="auto"/>
      </w:divBdr>
    </w:div>
    <w:div w:id="1033187857">
      <w:bodyDiv w:val="1"/>
      <w:marLeft w:val="0"/>
      <w:marRight w:val="0"/>
      <w:marTop w:val="0"/>
      <w:marBottom w:val="0"/>
      <w:divBdr>
        <w:top w:val="none" w:sz="0" w:space="0" w:color="auto"/>
        <w:left w:val="none" w:sz="0" w:space="0" w:color="auto"/>
        <w:bottom w:val="none" w:sz="0" w:space="0" w:color="auto"/>
        <w:right w:val="none" w:sz="0" w:space="0" w:color="auto"/>
      </w:divBdr>
    </w:div>
    <w:div w:id="1085685152">
      <w:bodyDiv w:val="1"/>
      <w:marLeft w:val="0"/>
      <w:marRight w:val="0"/>
      <w:marTop w:val="0"/>
      <w:marBottom w:val="0"/>
      <w:divBdr>
        <w:top w:val="none" w:sz="0" w:space="0" w:color="auto"/>
        <w:left w:val="none" w:sz="0" w:space="0" w:color="auto"/>
        <w:bottom w:val="none" w:sz="0" w:space="0" w:color="auto"/>
        <w:right w:val="none" w:sz="0" w:space="0" w:color="auto"/>
      </w:divBdr>
    </w:div>
    <w:div w:id="1153910270">
      <w:bodyDiv w:val="1"/>
      <w:marLeft w:val="0"/>
      <w:marRight w:val="0"/>
      <w:marTop w:val="0"/>
      <w:marBottom w:val="0"/>
      <w:divBdr>
        <w:top w:val="none" w:sz="0" w:space="0" w:color="auto"/>
        <w:left w:val="none" w:sz="0" w:space="0" w:color="auto"/>
        <w:bottom w:val="none" w:sz="0" w:space="0" w:color="auto"/>
        <w:right w:val="none" w:sz="0" w:space="0" w:color="auto"/>
      </w:divBdr>
      <w:divsChild>
        <w:div w:id="798031987">
          <w:marLeft w:val="0"/>
          <w:marRight w:val="0"/>
          <w:marTop w:val="0"/>
          <w:marBottom w:val="0"/>
          <w:divBdr>
            <w:top w:val="none" w:sz="0" w:space="0" w:color="auto"/>
            <w:left w:val="none" w:sz="0" w:space="0" w:color="auto"/>
            <w:bottom w:val="none" w:sz="0" w:space="0" w:color="auto"/>
            <w:right w:val="none" w:sz="0" w:space="0" w:color="auto"/>
          </w:divBdr>
          <w:divsChild>
            <w:div w:id="3058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45360">
      <w:bodyDiv w:val="1"/>
      <w:marLeft w:val="0"/>
      <w:marRight w:val="0"/>
      <w:marTop w:val="0"/>
      <w:marBottom w:val="0"/>
      <w:divBdr>
        <w:top w:val="none" w:sz="0" w:space="0" w:color="auto"/>
        <w:left w:val="none" w:sz="0" w:space="0" w:color="auto"/>
        <w:bottom w:val="none" w:sz="0" w:space="0" w:color="auto"/>
        <w:right w:val="none" w:sz="0" w:space="0" w:color="auto"/>
      </w:divBdr>
    </w:div>
    <w:div w:id="1222517538">
      <w:bodyDiv w:val="1"/>
      <w:marLeft w:val="0"/>
      <w:marRight w:val="0"/>
      <w:marTop w:val="0"/>
      <w:marBottom w:val="0"/>
      <w:divBdr>
        <w:top w:val="none" w:sz="0" w:space="0" w:color="auto"/>
        <w:left w:val="none" w:sz="0" w:space="0" w:color="auto"/>
        <w:bottom w:val="none" w:sz="0" w:space="0" w:color="auto"/>
        <w:right w:val="none" w:sz="0" w:space="0" w:color="auto"/>
      </w:divBdr>
    </w:div>
    <w:div w:id="1235625283">
      <w:bodyDiv w:val="1"/>
      <w:marLeft w:val="0"/>
      <w:marRight w:val="0"/>
      <w:marTop w:val="0"/>
      <w:marBottom w:val="0"/>
      <w:divBdr>
        <w:top w:val="none" w:sz="0" w:space="0" w:color="auto"/>
        <w:left w:val="none" w:sz="0" w:space="0" w:color="auto"/>
        <w:bottom w:val="none" w:sz="0" w:space="0" w:color="auto"/>
        <w:right w:val="none" w:sz="0" w:space="0" w:color="auto"/>
      </w:divBdr>
      <w:divsChild>
        <w:div w:id="1356076764">
          <w:marLeft w:val="0"/>
          <w:marRight w:val="0"/>
          <w:marTop w:val="0"/>
          <w:marBottom w:val="0"/>
          <w:divBdr>
            <w:top w:val="none" w:sz="0" w:space="0" w:color="auto"/>
            <w:left w:val="none" w:sz="0" w:space="0" w:color="auto"/>
            <w:bottom w:val="none" w:sz="0" w:space="0" w:color="auto"/>
            <w:right w:val="none" w:sz="0" w:space="0" w:color="auto"/>
          </w:divBdr>
        </w:div>
        <w:div w:id="133568485">
          <w:marLeft w:val="0"/>
          <w:marRight w:val="0"/>
          <w:marTop w:val="0"/>
          <w:marBottom w:val="0"/>
          <w:divBdr>
            <w:top w:val="none" w:sz="0" w:space="0" w:color="auto"/>
            <w:left w:val="none" w:sz="0" w:space="0" w:color="auto"/>
            <w:bottom w:val="none" w:sz="0" w:space="0" w:color="auto"/>
            <w:right w:val="none" w:sz="0" w:space="0" w:color="auto"/>
          </w:divBdr>
        </w:div>
      </w:divsChild>
    </w:div>
    <w:div w:id="1299217744">
      <w:bodyDiv w:val="1"/>
      <w:marLeft w:val="0"/>
      <w:marRight w:val="0"/>
      <w:marTop w:val="0"/>
      <w:marBottom w:val="0"/>
      <w:divBdr>
        <w:top w:val="none" w:sz="0" w:space="0" w:color="auto"/>
        <w:left w:val="none" w:sz="0" w:space="0" w:color="auto"/>
        <w:bottom w:val="none" w:sz="0" w:space="0" w:color="auto"/>
        <w:right w:val="none" w:sz="0" w:space="0" w:color="auto"/>
      </w:divBdr>
    </w:div>
    <w:div w:id="1379237836">
      <w:bodyDiv w:val="1"/>
      <w:marLeft w:val="0"/>
      <w:marRight w:val="0"/>
      <w:marTop w:val="0"/>
      <w:marBottom w:val="0"/>
      <w:divBdr>
        <w:top w:val="none" w:sz="0" w:space="0" w:color="auto"/>
        <w:left w:val="none" w:sz="0" w:space="0" w:color="auto"/>
        <w:bottom w:val="none" w:sz="0" w:space="0" w:color="auto"/>
        <w:right w:val="none" w:sz="0" w:space="0" w:color="auto"/>
      </w:divBdr>
    </w:div>
    <w:div w:id="1438476811">
      <w:bodyDiv w:val="1"/>
      <w:marLeft w:val="0"/>
      <w:marRight w:val="0"/>
      <w:marTop w:val="0"/>
      <w:marBottom w:val="0"/>
      <w:divBdr>
        <w:top w:val="none" w:sz="0" w:space="0" w:color="auto"/>
        <w:left w:val="none" w:sz="0" w:space="0" w:color="auto"/>
        <w:bottom w:val="none" w:sz="0" w:space="0" w:color="auto"/>
        <w:right w:val="none" w:sz="0" w:space="0" w:color="auto"/>
      </w:divBdr>
      <w:divsChild>
        <w:div w:id="1159464456">
          <w:marLeft w:val="0"/>
          <w:marRight w:val="0"/>
          <w:marTop w:val="0"/>
          <w:marBottom w:val="0"/>
          <w:divBdr>
            <w:top w:val="none" w:sz="0" w:space="0" w:color="auto"/>
            <w:left w:val="none" w:sz="0" w:space="0" w:color="auto"/>
            <w:bottom w:val="none" w:sz="0" w:space="0" w:color="auto"/>
            <w:right w:val="none" w:sz="0" w:space="0" w:color="auto"/>
          </w:divBdr>
        </w:div>
      </w:divsChild>
    </w:div>
    <w:div w:id="1479953949">
      <w:bodyDiv w:val="1"/>
      <w:marLeft w:val="0"/>
      <w:marRight w:val="0"/>
      <w:marTop w:val="0"/>
      <w:marBottom w:val="0"/>
      <w:divBdr>
        <w:top w:val="none" w:sz="0" w:space="0" w:color="auto"/>
        <w:left w:val="none" w:sz="0" w:space="0" w:color="auto"/>
        <w:bottom w:val="none" w:sz="0" w:space="0" w:color="auto"/>
        <w:right w:val="none" w:sz="0" w:space="0" w:color="auto"/>
      </w:divBdr>
    </w:div>
    <w:div w:id="1813447370">
      <w:bodyDiv w:val="1"/>
      <w:marLeft w:val="0"/>
      <w:marRight w:val="0"/>
      <w:marTop w:val="0"/>
      <w:marBottom w:val="0"/>
      <w:divBdr>
        <w:top w:val="none" w:sz="0" w:space="0" w:color="auto"/>
        <w:left w:val="none" w:sz="0" w:space="0" w:color="auto"/>
        <w:bottom w:val="none" w:sz="0" w:space="0" w:color="auto"/>
        <w:right w:val="none" w:sz="0" w:space="0" w:color="auto"/>
      </w:divBdr>
    </w:div>
    <w:div w:id="1819180950">
      <w:bodyDiv w:val="1"/>
      <w:marLeft w:val="0"/>
      <w:marRight w:val="0"/>
      <w:marTop w:val="0"/>
      <w:marBottom w:val="0"/>
      <w:divBdr>
        <w:top w:val="none" w:sz="0" w:space="0" w:color="auto"/>
        <w:left w:val="none" w:sz="0" w:space="0" w:color="auto"/>
        <w:bottom w:val="none" w:sz="0" w:space="0" w:color="auto"/>
        <w:right w:val="none" w:sz="0" w:space="0" w:color="auto"/>
      </w:divBdr>
    </w:div>
    <w:div w:id="1911767844">
      <w:bodyDiv w:val="1"/>
      <w:marLeft w:val="0"/>
      <w:marRight w:val="0"/>
      <w:marTop w:val="0"/>
      <w:marBottom w:val="0"/>
      <w:divBdr>
        <w:top w:val="none" w:sz="0" w:space="0" w:color="auto"/>
        <w:left w:val="none" w:sz="0" w:space="0" w:color="auto"/>
        <w:bottom w:val="none" w:sz="0" w:space="0" w:color="auto"/>
        <w:right w:val="none" w:sz="0" w:space="0" w:color="auto"/>
      </w:divBdr>
    </w:div>
    <w:div w:id="1992368432">
      <w:bodyDiv w:val="1"/>
      <w:marLeft w:val="0"/>
      <w:marRight w:val="0"/>
      <w:marTop w:val="0"/>
      <w:marBottom w:val="0"/>
      <w:divBdr>
        <w:top w:val="none" w:sz="0" w:space="0" w:color="auto"/>
        <w:left w:val="none" w:sz="0" w:space="0" w:color="auto"/>
        <w:bottom w:val="none" w:sz="0" w:space="0" w:color="auto"/>
        <w:right w:val="none" w:sz="0" w:space="0" w:color="auto"/>
      </w:divBdr>
    </w:div>
    <w:div w:id="207658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rcf.ac-grenoble.fr/"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286</Words>
  <Characters>1577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cp:lastModifiedBy>
  <cp:revision>9</cp:revision>
  <cp:lastPrinted>2017-11-04T22:56:00Z</cp:lastPrinted>
  <dcterms:created xsi:type="dcterms:W3CDTF">2017-10-29T22:50:00Z</dcterms:created>
  <dcterms:modified xsi:type="dcterms:W3CDTF">2017-11-04T22:57:00Z</dcterms:modified>
</cp:coreProperties>
</file>